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9D0" w:rsidRPr="008435FB" w:rsidRDefault="008D29D0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8435FB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8435FB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8435FB" w:rsidRPr="008435FB">
        <w:rPr>
          <w:rFonts w:ascii="Tahoma" w:hAnsi="Tahoma" w:cs="Tahoma"/>
          <w:b/>
          <w:sz w:val="24"/>
          <w:szCs w:val="24"/>
          <w:lang w:val="cs-CZ"/>
        </w:rPr>
        <w:br/>
      </w:r>
      <w:r w:rsidRPr="008435FB">
        <w:rPr>
          <w:rFonts w:ascii="Tahoma" w:hAnsi="Tahoma" w:cs="Tahoma"/>
          <w:b/>
          <w:noProof/>
          <w:sz w:val="24"/>
          <w:szCs w:val="24"/>
          <w:lang w:val="cs-CZ"/>
        </w:rPr>
        <w:t>Oddělení zpracování dávek s mezinárodním prvkem II</w:t>
      </w:r>
      <w:r w:rsidRPr="008435FB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8435FB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8435FB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8435FB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8435FB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8D29D0" w:rsidRPr="008435FB" w:rsidRDefault="008D29D0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8D29D0" w:rsidRPr="008435FB" w:rsidRDefault="008D29D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8435FB">
        <w:rPr>
          <w:rFonts w:cs="Tahoma"/>
          <w:szCs w:val="20"/>
        </w:rPr>
        <w:tab/>
      </w:r>
      <w:r w:rsidRPr="008435FB">
        <w:rPr>
          <w:rFonts w:cs="Tahoma"/>
          <w:szCs w:val="20"/>
        </w:rPr>
        <w:tab/>
      </w:r>
      <w:r w:rsidRPr="008435FB">
        <w:rPr>
          <w:rFonts w:cs="Tahoma"/>
          <w:szCs w:val="20"/>
        </w:rPr>
        <w:tab/>
      </w:r>
      <w:r w:rsidRPr="008435FB">
        <w:rPr>
          <w:rFonts w:cs="Tahoma"/>
          <w:szCs w:val="20"/>
        </w:rPr>
        <w:tab/>
      </w:r>
      <w:r w:rsidRPr="008435FB">
        <w:rPr>
          <w:rFonts w:cs="Tahoma"/>
          <w:szCs w:val="20"/>
        </w:rPr>
        <w:tab/>
      </w:r>
      <w:r w:rsidRPr="008435FB">
        <w:rPr>
          <w:rFonts w:ascii="Tahoma" w:hAnsi="Tahoma" w:cs="Tahoma"/>
          <w:sz w:val="20"/>
          <w:szCs w:val="20"/>
        </w:rPr>
        <w:t xml:space="preserve">Č. j. </w:t>
      </w:r>
      <w:r w:rsidRPr="008435FB">
        <w:rPr>
          <w:rFonts w:ascii="Tahoma" w:hAnsi="Tahoma" w:cs="Tahoma"/>
          <w:noProof/>
          <w:sz w:val="20"/>
          <w:szCs w:val="20"/>
        </w:rPr>
        <w:t>0100/00008063/25/VR</w:t>
      </w:r>
    </w:p>
    <w:p w:rsidR="008D29D0" w:rsidRPr="008435FB" w:rsidRDefault="008D29D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435FB">
        <w:rPr>
          <w:rFonts w:ascii="Tahoma" w:hAnsi="Tahoma" w:cs="Tahoma"/>
          <w:sz w:val="20"/>
          <w:szCs w:val="20"/>
        </w:rPr>
        <w:tab/>
      </w:r>
      <w:r w:rsidRPr="008435FB">
        <w:rPr>
          <w:rFonts w:ascii="Tahoma" w:hAnsi="Tahoma" w:cs="Tahoma"/>
          <w:sz w:val="20"/>
          <w:szCs w:val="20"/>
        </w:rPr>
        <w:tab/>
      </w:r>
      <w:r w:rsidRPr="008435FB">
        <w:rPr>
          <w:rFonts w:ascii="Tahoma" w:hAnsi="Tahoma" w:cs="Tahoma"/>
          <w:sz w:val="20"/>
          <w:szCs w:val="20"/>
        </w:rPr>
        <w:tab/>
      </w:r>
      <w:r w:rsidRPr="008435FB">
        <w:rPr>
          <w:rFonts w:ascii="Tahoma" w:hAnsi="Tahoma" w:cs="Tahoma"/>
          <w:sz w:val="20"/>
          <w:szCs w:val="20"/>
        </w:rPr>
        <w:tab/>
      </w:r>
      <w:r w:rsidRPr="008435FB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8435FB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8435FB">
        <w:rPr>
          <w:rFonts w:ascii="Tahoma" w:hAnsi="Tahoma" w:cs="Tahoma"/>
          <w:sz w:val="20"/>
          <w:szCs w:val="20"/>
        </w:rPr>
        <w:t xml:space="preserve">.  </w:t>
      </w:r>
      <w:r w:rsidRPr="008435FB">
        <w:rPr>
          <w:rFonts w:ascii="Tahoma" w:hAnsi="Tahoma" w:cs="Tahoma"/>
          <w:noProof/>
          <w:sz w:val="20"/>
          <w:szCs w:val="20"/>
        </w:rPr>
        <w:t>0100/12013011/20250801</w:t>
      </w:r>
    </w:p>
    <w:p w:rsidR="008D29D0" w:rsidRDefault="008D29D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435FB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8435FB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8435FB" w:rsidRPr="008435FB">
        <w:rPr>
          <w:rFonts w:ascii="Tahoma" w:hAnsi="Tahoma" w:cs="Tahoma"/>
          <w:noProof/>
          <w:sz w:val="20"/>
          <w:szCs w:val="20"/>
          <w:lang w:val="cs-CZ"/>
        </w:rPr>
        <w:t xml:space="preserve">1. </w:t>
      </w:r>
      <w:r w:rsidRPr="008435FB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8435FB" w:rsidRPr="008435F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435FB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8D29D0" w:rsidRPr="00083F48" w:rsidRDefault="008D29D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8D29D0" w:rsidRPr="008435FB" w:rsidRDefault="008D29D0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</w:t>
      </w:r>
      <w:r w:rsidRPr="008435FB">
        <w:rPr>
          <w:rFonts w:ascii="Tahoma" w:hAnsi="Tahoma" w:cs="Tahoma"/>
          <w:sz w:val="20"/>
          <w:szCs w:val="20"/>
          <w:lang w:val="cs-CZ"/>
        </w:rPr>
        <w:t xml:space="preserve">služebního úřadu </w:t>
      </w:r>
      <w:r w:rsidRPr="008435FB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8435FB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8435FB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435FB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8435FB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8435FB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435FB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II</w:t>
      </w:r>
      <w:r w:rsidRPr="008435FB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8435FB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 s mezinárodním prvkem</w:t>
      </w:r>
      <w:r w:rsidRPr="008435FB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8435FB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435FB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8435FB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8435FB">
        <w:rPr>
          <w:rFonts w:ascii="Tahoma" w:hAnsi="Tahoma" w:cs="Tahoma"/>
          <w:sz w:val="20"/>
          <w:szCs w:val="20"/>
          <w:lang w:val="cs-CZ"/>
        </w:rPr>
        <w:t>.</w:t>
      </w:r>
    </w:p>
    <w:p w:rsidR="008D29D0" w:rsidRPr="008435FB" w:rsidRDefault="008D29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435FB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8435FB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435FB">
        <w:rPr>
          <w:rFonts w:ascii="Tahoma" w:hAnsi="Tahoma" w:cs="Tahoma"/>
          <w:sz w:val="20"/>
          <w:szCs w:val="20"/>
          <w:lang w:val="cs-CZ"/>
        </w:rPr>
        <w:t>.</w:t>
      </w:r>
    </w:p>
    <w:p w:rsidR="008D29D0" w:rsidRPr="008435FB" w:rsidRDefault="008D29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435FB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8D29D0" w:rsidRPr="008435FB" w:rsidRDefault="008D29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435FB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435FB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8435FB">
        <w:rPr>
          <w:rFonts w:ascii="Tahoma" w:hAnsi="Tahoma" w:cs="Tahoma"/>
          <w:sz w:val="20"/>
          <w:szCs w:val="20"/>
          <w:lang w:val="cs-CZ"/>
        </w:rPr>
        <w:t>.</w:t>
      </w:r>
    </w:p>
    <w:p w:rsidR="008D29D0" w:rsidRPr="008435FB" w:rsidRDefault="008D29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435FB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435FB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8435FB">
        <w:rPr>
          <w:rFonts w:ascii="Tahoma" w:hAnsi="Tahoma" w:cs="Tahoma"/>
          <w:sz w:val="20"/>
          <w:szCs w:val="20"/>
          <w:lang w:val="cs-CZ"/>
        </w:rPr>
        <w:t>.</w:t>
      </w:r>
    </w:p>
    <w:p w:rsidR="008D29D0" w:rsidRPr="008435FB" w:rsidRDefault="008D29D0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435FB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435FB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435FB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8D29D0" w:rsidRPr="008435FB" w:rsidRDefault="008D29D0" w:rsidP="00C87830">
      <w:pPr>
        <w:rPr>
          <w:rFonts w:ascii="Tahoma" w:hAnsi="Tahoma" w:cs="Tahoma"/>
          <w:sz w:val="20"/>
          <w:szCs w:val="20"/>
          <w:lang w:val="cs-CZ"/>
        </w:rPr>
      </w:pPr>
      <w:r w:rsidRPr="008435FB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435FB">
        <w:rPr>
          <w:rFonts w:ascii="Tahoma" w:hAnsi="Tahoma" w:cs="Tahoma"/>
          <w:b/>
          <w:noProof/>
          <w:sz w:val="20"/>
          <w:szCs w:val="20"/>
          <w:lang w:val="cs-CZ"/>
        </w:rPr>
        <w:t>září/říjen 2025</w:t>
      </w:r>
      <w:r w:rsidRPr="008435FB">
        <w:rPr>
          <w:rFonts w:ascii="Tahoma" w:hAnsi="Tahoma" w:cs="Tahoma"/>
          <w:sz w:val="20"/>
          <w:szCs w:val="20"/>
          <w:lang w:val="cs-CZ"/>
        </w:rPr>
        <w:t>.</w:t>
      </w:r>
    </w:p>
    <w:p w:rsidR="008D29D0" w:rsidRPr="008435FB" w:rsidRDefault="008D29D0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435FB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8435FB" w:rsidRPr="008435FB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8435FB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435FB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8435FB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8435FB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8435FB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8435FB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8435FB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8D29D0" w:rsidRPr="008435FB" w:rsidRDefault="008D29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435FB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8435FB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8435FB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435FB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8D29D0" w:rsidRPr="008435FB" w:rsidRDefault="008D29D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435FB">
        <w:rPr>
          <w:rFonts w:ascii="Tahoma" w:hAnsi="Tahoma" w:cs="Tahoma"/>
          <w:sz w:val="20"/>
          <w:szCs w:val="20"/>
        </w:rPr>
        <w:t xml:space="preserve">platový tarif v rozmezí od </w:t>
      </w:r>
      <w:r w:rsidR="008435FB" w:rsidRPr="008435FB">
        <w:rPr>
          <w:rFonts w:ascii="Tahoma" w:hAnsi="Tahoma" w:cs="Tahoma"/>
          <w:noProof/>
          <w:sz w:val="20"/>
          <w:szCs w:val="20"/>
        </w:rPr>
        <w:t>33 280</w:t>
      </w:r>
      <w:r w:rsidRPr="008435FB">
        <w:rPr>
          <w:rFonts w:ascii="Tahoma" w:hAnsi="Tahoma" w:cs="Tahoma"/>
          <w:sz w:val="20"/>
          <w:szCs w:val="20"/>
        </w:rPr>
        <w:t xml:space="preserve"> Kč do </w:t>
      </w:r>
      <w:r w:rsidR="008435FB" w:rsidRPr="008435FB">
        <w:rPr>
          <w:rFonts w:ascii="Tahoma" w:hAnsi="Tahoma" w:cs="Tahoma"/>
          <w:noProof/>
          <w:sz w:val="20"/>
          <w:szCs w:val="20"/>
        </w:rPr>
        <w:t xml:space="preserve">35 </w:t>
      </w:r>
      <w:r w:rsidRPr="008435FB">
        <w:rPr>
          <w:rFonts w:ascii="Tahoma" w:hAnsi="Tahoma" w:cs="Tahoma"/>
          <w:noProof/>
          <w:sz w:val="20"/>
          <w:szCs w:val="20"/>
        </w:rPr>
        <w:t>770</w:t>
      </w:r>
      <w:r w:rsidRPr="008435FB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435FB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435FB">
        <w:rPr>
          <w:rFonts w:ascii="Tahoma" w:hAnsi="Tahoma" w:cs="Tahoma"/>
          <w:sz w:val="20"/>
          <w:szCs w:val="20"/>
        </w:rPr>
        <w:t>),</w:t>
      </w:r>
    </w:p>
    <w:p w:rsidR="008D29D0" w:rsidRPr="008435FB" w:rsidRDefault="008D29D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435FB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435FB">
        <w:rPr>
          <w:rFonts w:ascii="Tahoma" w:hAnsi="Tahoma" w:cs="Tahoma"/>
          <w:noProof/>
          <w:sz w:val="20"/>
          <w:szCs w:val="20"/>
        </w:rPr>
        <w:t>1</w:t>
      </w:r>
      <w:r w:rsidR="008435FB" w:rsidRPr="008435FB">
        <w:rPr>
          <w:rFonts w:ascii="Tahoma" w:hAnsi="Tahoma" w:cs="Tahoma"/>
          <w:noProof/>
          <w:sz w:val="20"/>
          <w:szCs w:val="20"/>
        </w:rPr>
        <w:t xml:space="preserve"> </w:t>
      </w:r>
      <w:r w:rsidRPr="008435FB">
        <w:rPr>
          <w:rFonts w:ascii="Tahoma" w:hAnsi="Tahoma" w:cs="Tahoma"/>
          <w:noProof/>
          <w:sz w:val="20"/>
          <w:szCs w:val="20"/>
        </w:rPr>
        <w:t>789</w:t>
      </w:r>
      <w:r w:rsidRPr="008435FB">
        <w:rPr>
          <w:rFonts w:ascii="Tahoma" w:hAnsi="Tahoma" w:cs="Tahoma"/>
          <w:sz w:val="20"/>
          <w:szCs w:val="20"/>
        </w:rPr>
        <w:t xml:space="preserve"> Kč do </w:t>
      </w:r>
      <w:r w:rsidR="008435FB" w:rsidRPr="008435FB">
        <w:rPr>
          <w:rFonts w:ascii="Tahoma" w:hAnsi="Tahoma" w:cs="Tahoma"/>
          <w:noProof/>
          <w:sz w:val="20"/>
          <w:szCs w:val="20"/>
        </w:rPr>
        <w:t xml:space="preserve">5 </w:t>
      </w:r>
      <w:r w:rsidRPr="008435FB">
        <w:rPr>
          <w:rFonts w:ascii="Tahoma" w:hAnsi="Tahoma" w:cs="Tahoma"/>
          <w:noProof/>
          <w:sz w:val="20"/>
          <w:szCs w:val="20"/>
        </w:rPr>
        <w:t>366</w:t>
      </w:r>
      <w:r w:rsidRPr="008435FB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435FB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8435FB">
        <w:rPr>
          <w:rFonts w:ascii="Tahoma" w:hAnsi="Tahoma" w:cs="Tahoma"/>
          <w:sz w:val="20"/>
          <w:szCs w:val="20"/>
        </w:rPr>
        <w:t>,</w:t>
      </w:r>
    </w:p>
    <w:p w:rsidR="008D29D0" w:rsidRPr="008435FB" w:rsidRDefault="008D29D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435FB">
        <w:rPr>
          <w:rFonts w:ascii="Tahoma" w:hAnsi="Tahoma" w:cs="Tahoma"/>
          <w:sz w:val="20"/>
          <w:szCs w:val="20"/>
        </w:rPr>
        <w:t xml:space="preserve">zvláštní příplatek </w:t>
      </w:r>
      <w:r w:rsidRPr="008435FB">
        <w:rPr>
          <w:rFonts w:ascii="Tahoma" w:hAnsi="Tahoma" w:cs="Tahoma"/>
          <w:noProof/>
          <w:sz w:val="20"/>
          <w:szCs w:val="20"/>
        </w:rPr>
        <w:t>není stanoven</w:t>
      </w:r>
      <w:r w:rsidRPr="008435FB">
        <w:rPr>
          <w:rFonts w:ascii="Tahoma" w:hAnsi="Tahoma" w:cs="Tahoma"/>
          <w:sz w:val="20"/>
          <w:szCs w:val="20"/>
        </w:rPr>
        <w:t>.</w:t>
      </w:r>
    </w:p>
    <w:p w:rsidR="008D29D0" w:rsidRDefault="008D29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435FB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8435FB" w:rsidRPr="00274359" w:rsidRDefault="008435FB" w:rsidP="008435F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74359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 podle vnitrostátních předpisů, Koordinačních nařízení a mezinárodních smluv o sociálním zabezpečení, jejich výši a výplatě, vyhotovení osobních listů důchodového pojištění a dokladu o výpočtu důchodu, zhodnocování nárokových podkladů a jejich případné došetřování, v rozhodování </w:t>
      </w:r>
      <w:r w:rsidRPr="00274359">
        <w:rPr>
          <w:rFonts w:ascii="Tahoma" w:hAnsi="Tahoma" w:cs="Tahoma"/>
          <w:sz w:val="20"/>
          <w:szCs w:val="20"/>
          <w:lang w:val="cs-CZ"/>
        </w:rPr>
        <w:br/>
        <w:t xml:space="preserve">o důchodových záležitostech na základě došlých doplňujících dokladů, ve vedení stanovené evidence </w:t>
      </w:r>
      <w:r w:rsidRPr="00274359">
        <w:rPr>
          <w:rFonts w:ascii="Tahoma" w:hAnsi="Tahoma" w:cs="Tahoma"/>
          <w:sz w:val="20"/>
          <w:szCs w:val="20"/>
          <w:lang w:val="cs-CZ"/>
        </w:rPr>
        <w:br/>
        <w:t xml:space="preserve">a podkladů potřebných pro automatizované zpracování důchodové agendy apod. </w:t>
      </w:r>
    </w:p>
    <w:p w:rsidR="008435FB" w:rsidRPr="00274359" w:rsidRDefault="008435FB" w:rsidP="008435F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74359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nařízení Evropského parlamentu a Rady (ES) č. 883/2004 a č. 987/2009, mezinárodních smluv </w:t>
      </w:r>
      <w:r w:rsidRPr="00274359">
        <w:rPr>
          <w:rFonts w:ascii="Tahoma" w:hAnsi="Tahoma" w:cs="Tahoma"/>
          <w:sz w:val="20"/>
          <w:szCs w:val="20"/>
          <w:lang w:val="cs-CZ"/>
        </w:rPr>
        <w:br/>
        <w:t xml:space="preserve">o sociálním zabezpečení, dále uživatelskou znalost práce na PC, preciznost a samostatnost. </w:t>
      </w:r>
    </w:p>
    <w:p w:rsidR="008435FB" w:rsidRDefault="008435FB" w:rsidP="008435F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74359">
        <w:rPr>
          <w:rFonts w:ascii="Tahoma" w:hAnsi="Tahoma" w:cs="Tahoma"/>
          <w:sz w:val="20"/>
          <w:szCs w:val="20"/>
          <w:lang w:val="cs-CZ"/>
        </w:rPr>
        <w:t xml:space="preserve">Na tomto služebním místě není vyžadována způsobilost seznamovat se s utajovanými informacemi </w:t>
      </w:r>
      <w:r w:rsidRPr="00274359">
        <w:rPr>
          <w:rFonts w:ascii="Tahoma" w:hAnsi="Tahoma" w:cs="Tahoma"/>
          <w:sz w:val="20"/>
          <w:szCs w:val="20"/>
          <w:lang w:val="cs-CZ"/>
        </w:rPr>
        <w:br/>
      </w:r>
      <w:r w:rsidRPr="009706A2">
        <w:rPr>
          <w:rFonts w:ascii="Tahoma" w:hAnsi="Tahoma" w:cs="Tahoma"/>
          <w:sz w:val="20"/>
          <w:szCs w:val="20"/>
          <w:lang w:val="cs-CZ"/>
        </w:rPr>
        <w:t>podle právního předpisu o ochraně utajovaných informací.</w:t>
      </w:r>
    </w:p>
    <w:p w:rsidR="008D29D0" w:rsidRPr="008435FB" w:rsidRDefault="008D29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8435FB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="008435FB" w:rsidRPr="008435FB">
        <w:rPr>
          <w:rFonts w:ascii="Tahoma" w:hAnsi="Tahoma" w:cs="Tahoma"/>
          <w:b/>
          <w:noProof/>
          <w:sz w:val="20"/>
          <w:szCs w:val="20"/>
          <w:lang w:val="cs-CZ"/>
        </w:rPr>
        <w:t xml:space="preserve">29. </w:t>
      </w:r>
      <w:r w:rsidRPr="008435FB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 w:rsidR="008435FB" w:rsidRPr="008435F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435FB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8435FB">
        <w:rPr>
          <w:rFonts w:ascii="Tahoma" w:hAnsi="Tahoma" w:cs="Tahoma"/>
          <w:b/>
          <w:sz w:val="20"/>
          <w:szCs w:val="20"/>
          <w:lang w:val="cs-CZ"/>
        </w:rPr>
        <w:t>,</w:t>
      </w:r>
      <w:r w:rsidRPr="008435FB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8D29D0" w:rsidRPr="008435FB" w:rsidRDefault="008D29D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435FB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8435FB">
        <w:rPr>
          <w:rFonts w:ascii="Tahoma" w:hAnsi="Tahoma" w:cs="Tahoma"/>
          <w:b/>
          <w:noProof/>
          <w:sz w:val="20"/>
          <w:szCs w:val="20"/>
        </w:rPr>
        <w:t>kariera</w:t>
      </w:r>
      <w:r w:rsidRPr="008435FB">
        <w:rPr>
          <w:rFonts w:ascii="Tahoma" w:hAnsi="Tahoma" w:cs="Tahoma"/>
          <w:b/>
          <w:noProof/>
          <w:sz w:val="20"/>
          <w:szCs w:val="20"/>
        </w:rPr>
        <w:t>@cssz.cz</w:t>
      </w:r>
      <w:r w:rsidRPr="008435FB">
        <w:rPr>
          <w:rFonts w:ascii="Tahoma" w:hAnsi="Tahoma" w:cs="Tahoma"/>
          <w:sz w:val="20"/>
          <w:szCs w:val="20"/>
        </w:rPr>
        <w:t>,</w:t>
      </w:r>
    </w:p>
    <w:p w:rsidR="008D29D0" w:rsidRPr="008435FB" w:rsidRDefault="008D29D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435FB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435FB">
        <w:rPr>
          <w:rFonts w:ascii="Tahoma" w:hAnsi="Tahoma" w:cs="Tahoma"/>
          <w:noProof/>
          <w:sz w:val="20"/>
          <w:szCs w:val="20"/>
        </w:rPr>
        <w:t>49KAIQ3</w:t>
      </w:r>
      <w:r w:rsidRPr="008435FB">
        <w:rPr>
          <w:rFonts w:ascii="Tahoma" w:hAnsi="Tahoma" w:cs="Tahoma"/>
          <w:sz w:val="20"/>
          <w:szCs w:val="20"/>
        </w:rPr>
        <w:t>),</w:t>
      </w:r>
    </w:p>
    <w:p w:rsidR="008D29D0" w:rsidRPr="008435FB" w:rsidRDefault="008D29D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435FB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8435FB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8435FB">
        <w:rPr>
          <w:rFonts w:ascii="Tahoma" w:hAnsi="Tahoma" w:cs="Tahoma"/>
          <w:sz w:val="20"/>
          <w:szCs w:val="20"/>
        </w:rPr>
        <w:t xml:space="preserve">, </w:t>
      </w:r>
      <w:r w:rsidRPr="008435FB">
        <w:rPr>
          <w:rFonts w:ascii="Tahoma" w:hAnsi="Tahoma" w:cs="Tahoma"/>
          <w:noProof/>
          <w:sz w:val="20"/>
          <w:szCs w:val="20"/>
        </w:rPr>
        <w:t>Křížová 25, 225 08 Praha 5</w:t>
      </w:r>
      <w:r w:rsidRPr="008435FB">
        <w:rPr>
          <w:rFonts w:ascii="Tahoma" w:hAnsi="Tahoma" w:cs="Tahoma"/>
          <w:sz w:val="20"/>
          <w:szCs w:val="20"/>
        </w:rPr>
        <w:t xml:space="preserve"> nebo</w:t>
      </w:r>
    </w:p>
    <w:p w:rsidR="008D29D0" w:rsidRPr="008435FB" w:rsidRDefault="008D29D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435FB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8D29D0" w:rsidRPr="008777F8" w:rsidRDefault="008D29D0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435FB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 na kterou mu budou </w:t>
      </w:r>
      <w:r w:rsidRPr="008777F8">
        <w:rPr>
          <w:rFonts w:ascii="Tahoma" w:hAnsi="Tahoma" w:cs="Tahoma"/>
          <w:sz w:val="20"/>
          <w:szCs w:val="20"/>
          <w:lang w:val="cs-CZ"/>
        </w:rPr>
        <w:t>doručovány písemnosti ve výběrovém řízení.</w:t>
      </w:r>
    </w:p>
    <w:p w:rsidR="008D29D0" w:rsidRPr="0003051C" w:rsidRDefault="008D29D0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77F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8777F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8777F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8777F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8777F8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8777F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777F8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II</w:t>
      </w:r>
      <w:r w:rsidRPr="008777F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777F8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777F8">
        <w:rPr>
          <w:rFonts w:ascii="Tahoma" w:hAnsi="Tahoma" w:cs="Tahoma"/>
          <w:sz w:val="20"/>
          <w:szCs w:val="20"/>
          <w:lang w:val="cs-CZ"/>
        </w:rPr>
        <w:t>, ID </w:t>
      </w:r>
      <w:r w:rsidRPr="008777F8">
        <w:rPr>
          <w:rFonts w:ascii="Tahoma" w:hAnsi="Tahoma" w:cs="Tahoma"/>
          <w:noProof/>
          <w:sz w:val="20"/>
          <w:szCs w:val="20"/>
          <w:lang w:val="cs-CZ"/>
        </w:rPr>
        <w:t>12013011</w:t>
      </w:r>
      <w:r w:rsidRPr="008777F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8D29D0" w:rsidRPr="00083F48" w:rsidRDefault="008D29D0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8D29D0" w:rsidRPr="00083F48" w:rsidRDefault="008D29D0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8D29D0" w:rsidRPr="00083F48" w:rsidRDefault="008D29D0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8D29D0" w:rsidRPr="00083F48" w:rsidRDefault="008D29D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8D29D0" w:rsidRPr="00083F48" w:rsidRDefault="008D29D0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8D29D0" w:rsidRPr="00083F48" w:rsidRDefault="008D29D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8D29D0" w:rsidRPr="00083F48" w:rsidRDefault="008D29D0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8D29D0" w:rsidRPr="00083F48" w:rsidRDefault="008D29D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8D29D0" w:rsidRPr="008777F8" w:rsidRDefault="008D29D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</w:t>
      </w:r>
      <w:r w:rsidRPr="008777F8">
        <w:rPr>
          <w:rFonts w:ascii="Tahoma" w:hAnsi="Tahoma" w:cs="Tahoma"/>
          <w:sz w:val="20"/>
          <w:szCs w:val="20"/>
          <w:lang w:val="cs-CZ"/>
        </w:rPr>
        <w:t>žadatele. Proto je žadatel povinen v žádosti o zařazení na služební místo sdělit služebnímu orgánu všechny údaje potřebné pro vyžádání výpisu. Těmito údaji jsou jméno, příjmení a datum narození</w:t>
      </w:r>
      <w:r w:rsidRPr="008777F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8777F8">
        <w:rPr>
          <w:rFonts w:ascii="Tahoma" w:hAnsi="Tahoma" w:cs="Tahoma"/>
          <w:sz w:val="20"/>
          <w:szCs w:val="20"/>
          <w:lang w:val="cs-CZ"/>
        </w:rPr>
        <w:t>;</w:t>
      </w:r>
    </w:p>
    <w:p w:rsidR="008D29D0" w:rsidRPr="008777F8" w:rsidRDefault="008D29D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777F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8D29D0" w:rsidRPr="008777F8" w:rsidRDefault="008D29D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777F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="008777F8" w:rsidRPr="008777F8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8777F8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8D29D0" w:rsidRPr="00083F48" w:rsidRDefault="008D29D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777F8">
        <w:rPr>
          <w:rFonts w:ascii="Tahoma" w:hAnsi="Tahoma" w:cs="Tahoma"/>
          <w:sz w:val="20"/>
          <w:szCs w:val="20"/>
          <w:lang w:val="cs-CZ"/>
        </w:rPr>
        <w:t>Splnění tohoto předpokladu se podle § 26 odst. 1 věty první zákona dokládá příslušnými listinami, tj. originálem nebo úředně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ověřenou kopií listiny: </w:t>
      </w:r>
      <w:r w:rsidR="008777F8" w:rsidRPr="00D57511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8777F8" w:rsidRPr="00D57511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8D29D0" w:rsidRPr="00083F48" w:rsidRDefault="008D29D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8D29D0" w:rsidRDefault="008D29D0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8D29D0" w:rsidRPr="009501C0" w:rsidRDefault="008D29D0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8D29D0" w:rsidRPr="00083F48" w:rsidRDefault="008D29D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8D29D0" w:rsidRPr="00083F48" w:rsidRDefault="008D29D0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8D29D0" w:rsidRPr="00083F48" w:rsidRDefault="008D29D0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8D29D0" w:rsidRPr="00083F48" w:rsidRDefault="008D29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77F8" w:rsidRDefault="008777F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77F8" w:rsidRDefault="008777F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77F8" w:rsidRDefault="008777F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77F8" w:rsidRDefault="008777F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77F8" w:rsidRDefault="008777F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777F8" w:rsidRPr="00083F48" w:rsidRDefault="008777F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Pr="008777F8" w:rsidRDefault="008D29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77F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8D29D0" w:rsidRPr="008777F8" w:rsidRDefault="008D29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77F8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8D29D0" w:rsidRPr="008777F8" w:rsidRDefault="00AF5F6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noProof/>
          <w:sz w:val="20"/>
          <w:szCs w:val="20"/>
          <w:lang w:val="cs-CZ"/>
        </w:rPr>
        <w:t>specialist</w:t>
      </w:r>
      <w:bookmarkStart w:id="0" w:name="_GoBack"/>
      <w:bookmarkEnd w:id="0"/>
      <w:r w:rsidR="008D29D0" w:rsidRPr="008777F8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="008D29D0" w:rsidRPr="008777F8">
        <w:rPr>
          <w:rFonts w:ascii="Tahoma" w:hAnsi="Tahoma" w:cs="Tahoma"/>
          <w:sz w:val="20"/>
          <w:szCs w:val="20"/>
          <w:lang w:val="cs-CZ"/>
        </w:rPr>
        <w:t xml:space="preserve"> </w:t>
      </w:r>
      <w:r w:rsidR="008D29D0" w:rsidRPr="008777F8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="008D29D0" w:rsidRPr="008777F8">
        <w:rPr>
          <w:rFonts w:ascii="Tahoma" w:hAnsi="Tahoma" w:cs="Tahoma"/>
          <w:sz w:val="20"/>
          <w:szCs w:val="20"/>
          <w:lang w:val="cs-CZ"/>
        </w:rPr>
        <w:t xml:space="preserve"> </w:t>
      </w:r>
      <w:r w:rsidR="008D29D0" w:rsidRPr="008777F8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8D29D0" w:rsidRPr="008777F8" w:rsidRDefault="008D29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77F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8777F8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8D29D0" w:rsidRPr="008777F8" w:rsidRDefault="008D29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777F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8777F8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8D29D0" w:rsidRPr="008777F8" w:rsidRDefault="008D29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Pr="008777F8" w:rsidRDefault="008D29D0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777F8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8D29D0" w:rsidRPr="008777F8" w:rsidRDefault="008D29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Pr="008777F8" w:rsidRDefault="008D29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Pr="008777F8" w:rsidRDefault="008D29D0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8777F8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D29D0" w:rsidRPr="008777F8" w:rsidTr="00AE1B8B">
        <w:trPr>
          <w:trHeight w:val="269"/>
          <w:jc w:val="right"/>
        </w:trPr>
        <w:tc>
          <w:tcPr>
            <w:tcW w:w="4583" w:type="dxa"/>
            <w:hideMark/>
          </w:tcPr>
          <w:p w:rsidR="008D29D0" w:rsidRPr="008777F8" w:rsidRDefault="008D29D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777F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8777F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777F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8777F8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777F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8D29D0" w:rsidRPr="008777F8" w:rsidTr="00AE1B8B">
        <w:trPr>
          <w:trHeight w:val="269"/>
          <w:jc w:val="right"/>
        </w:trPr>
        <w:tc>
          <w:tcPr>
            <w:tcW w:w="4583" w:type="dxa"/>
            <w:hideMark/>
          </w:tcPr>
          <w:p w:rsidR="008D29D0" w:rsidRPr="008777F8" w:rsidRDefault="008D29D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777F8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8D29D0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8D29D0" w:rsidRPr="008777F8" w:rsidRDefault="008D29D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777F8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8D29D0" w:rsidRPr="00083F48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Pr="00083F48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Pr="00176C27" w:rsidRDefault="008D29D0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8D29D0" w:rsidRPr="00176C27" w:rsidRDefault="008D29D0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8D29D0" w:rsidRDefault="008D29D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8D29D0" w:rsidRDefault="008D29D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8D29D0" w:rsidRDefault="008D29D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8D29D0" w:rsidRPr="002273E7" w:rsidRDefault="008D29D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D29D0" w:rsidRPr="008777F8" w:rsidRDefault="008D29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8777F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8777F8" w:rsidRPr="008777F8">
        <w:rPr>
          <w:rFonts w:ascii="Tahoma" w:hAnsi="Tahoma" w:cs="Tahoma"/>
          <w:noProof/>
          <w:sz w:val="20"/>
          <w:szCs w:val="20"/>
          <w:lang w:val="cs-CZ"/>
        </w:rPr>
        <w:t xml:space="preserve">1. </w:t>
      </w:r>
      <w:r w:rsidRPr="008777F8">
        <w:rPr>
          <w:rFonts w:ascii="Tahoma" w:hAnsi="Tahoma" w:cs="Tahoma"/>
          <w:noProof/>
          <w:sz w:val="20"/>
          <w:szCs w:val="20"/>
          <w:lang w:val="cs-CZ"/>
        </w:rPr>
        <w:t>8.</w:t>
      </w:r>
      <w:r w:rsidR="008777F8" w:rsidRPr="008777F8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777F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8D29D0" w:rsidRDefault="008D29D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8D29D0" w:rsidSect="008D29D0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777F8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8D29D0" w:rsidRPr="00083F48" w:rsidRDefault="008D29D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8D29D0" w:rsidRPr="00083F48" w:rsidSect="008D29D0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B86" w:rsidRDefault="00EF5B86" w:rsidP="00C87830">
      <w:pPr>
        <w:spacing w:after="0" w:line="240" w:lineRule="auto"/>
      </w:pPr>
      <w:r>
        <w:separator/>
      </w:r>
    </w:p>
  </w:endnote>
  <w:endnote w:type="continuationSeparator" w:id="0">
    <w:p w:rsidR="00EF5B86" w:rsidRDefault="00EF5B8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9D0" w:rsidRDefault="008D29D0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654B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654B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8D29D0" w:rsidRDefault="008D29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9D0" w:rsidRDefault="008D29D0">
    <w:pPr>
      <w:pStyle w:val="Zpat"/>
      <w:jc w:val="center"/>
    </w:pPr>
  </w:p>
  <w:p w:rsidR="008D29D0" w:rsidRDefault="008D29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35D4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654B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B86" w:rsidRDefault="00EF5B86" w:rsidP="00C87830">
      <w:pPr>
        <w:spacing w:after="0" w:line="240" w:lineRule="auto"/>
      </w:pPr>
      <w:r>
        <w:separator/>
      </w:r>
    </w:p>
  </w:footnote>
  <w:footnote w:type="continuationSeparator" w:id="0">
    <w:p w:rsidR="00EF5B86" w:rsidRDefault="00EF5B86" w:rsidP="00C87830">
      <w:pPr>
        <w:spacing w:after="0" w:line="240" w:lineRule="auto"/>
      </w:pPr>
      <w:r>
        <w:continuationSeparator/>
      </w:r>
    </w:p>
  </w:footnote>
  <w:footnote w:id="1">
    <w:p w:rsidR="008D29D0" w:rsidRPr="00B53290" w:rsidRDefault="008D29D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8D29D0" w:rsidRPr="00C80715" w:rsidRDefault="008D29D0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8D29D0" w:rsidRPr="00C80715" w:rsidRDefault="008D29D0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8D29D0" w:rsidRPr="00B53290" w:rsidRDefault="008D29D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8D29D0" w:rsidRPr="00BC46D8" w:rsidRDefault="008D29D0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8D29D0" w:rsidRPr="002273E7" w:rsidRDefault="008D29D0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8D29D0" w:rsidRPr="001862C1" w:rsidRDefault="008D29D0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8D29D0" w:rsidRPr="0003051C" w:rsidRDefault="008D29D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5D45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654B7"/>
    <w:rsid w:val="007919A6"/>
    <w:rsid w:val="007A0F69"/>
    <w:rsid w:val="007B7C8F"/>
    <w:rsid w:val="007F1393"/>
    <w:rsid w:val="007F38A2"/>
    <w:rsid w:val="008435FB"/>
    <w:rsid w:val="00871BF3"/>
    <w:rsid w:val="008777F8"/>
    <w:rsid w:val="0088756B"/>
    <w:rsid w:val="008B624B"/>
    <w:rsid w:val="008D29D0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5F6D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EF5B86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7990D-FAA6-466A-8FD5-F5782DCA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1347</Words>
  <Characters>7951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2025-08-01T09:28:00Z</cp:lastPrinted>
  <dcterms:created xsi:type="dcterms:W3CDTF">2025-08-01T09:01:00Z</dcterms:created>
  <dcterms:modified xsi:type="dcterms:W3CDTF">2025-08-01T09:28:00Z</dcterms:modified>
</cp:coreProperties>
</file>